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A8D39" w14:textId="77777777" w:rsidR="001C5011" w:rsidRPr="001C5011" w:rsidRDefault="001C5011" w:rsidP="001C5011">
      <w:pPr>
        <w:jc w:val="center"/>
        <w:rPr>
          <w:sz w:val="52"/>
          <w:szCs w:val="52"/>
        </w:rPr>
      </w:pPr>
      <w:r w:rsidRPr="001C5011">
        <w:rPr>
          <w:sz w:val="52"/>
          <w:szCs w:val="52"/>
        </w:rPr>
        <w:t xml:space="preserve">Grille de réponse </w:t>
      </w:r>
    </w:p>
    <w:p w14:paraId="03B2AFD8" w14:textId="676619D9" w:rsidR="009F0F0B" w:rsidRDefault="001C5011" w:rsidP="001C5011">
      <w:pPr>
        <w:jc w:val="center"/>
        <w:rPr>
          <w:sz w:val="36"/>
          <w:szCs w:val="36"/>
        </w:rPr>
      </w:pPr>
      <w:r w:rsidRPr="001C5011">
        <w:rPr>
          <w:sz w:val="36"/>
          <w:szCs w:val="36"/>
        </w:rPr>
        <w:t>(</w:t>
      </w:r>
      <w:proofErr w:type="gramStart"/>
      <w:r w:rsidRPr="001C5011">
        <w:rPr>
          <w:sz w:val="36"/>
          <w:szCs w:val="36"/>
        </w:rPr>
        <w:t>à</w:t>
      </w:r>
      <w:proofErr w:type="gramEnd"/>
      <w:r w:rsidRPr="001C5011">
        <w:rPr>
          <w:sz w:val="36"/>
          <w:szCs w:val="36"/>
        </w:rPr>
        <w:t xml:space="preserve"> renseigner par le soumissionnaire)</w:t>
      </w:r>
    </w:p>
    <w:tbl>
      <w:tblPr>
        <w:tblStyle w:val="Grilledutableau"/>
        <w:tblW w:w="10490" w:type="dxa"/>
        <w:tblInd w:w="-856" w:type="dxa"/>
        <w:tblLook w:val="04A0" w:firstRow="1" w:lastRow="0" w:firstColumn="1" w:lastColumn="0" w:noHBand="0" w:noVBand="1"/>
      </w:tblPr>
      <w:tblGrid>
        <w:gridCol w:w="3876"/>
        <w:gridCol w:w="3021"/>
        <w:gridCol w:w="3593"/>
      </w:tblGrid>
      <w:tr w:rsidR="001C5011" w14:paraId="02FDD57C" w14:textId="77777777" w:rsidTr="001C5011">
        <w:trPr>
          <w:trHeight w:val="865"/>
        </w:trPr>
        <w:tc>
          <w:tcPr>
            <w:tcW w:w="3876" w:type="dxa"/>
            <w:shd w:val="clear" w:color="auto" w:fill="8EAADB" w:themeFill="accent1" w:themeFillTint="99"/>
            <w:vAlign w:val="center"/>
          </w:tcPr>
          <w:p w14:paraId="50D7CB00" w14:textId="4C7A8991" w:rsidR="001C5011" w:rsidRPr="001C5011" w:rsidRDefault="001C5011" w:rsidP="001C5011">
            <w:pPr>
              <w:jc w:val="center"/>
              <w:rPr>
                <w:b/>
                <w:bCs/>
                <w:sz w:val="24"/>
                <w:szCs w:val="24"/>
              </w:rPr>
            </w:pPr>
            <w:r w:rsidRPr="001C5011">
              <w:rPr>
                <w:b/>
                <w:bCs/>
                <w:sz w:val="24"/>
                <w:szCs w:val="24"/>
              </w:rPr>
              <w:t>Objet de la demande</w:t>
            </w:r>
          </w:p>
        </w:tc>
        <w:tc>
          <w:tcPr>
            <w:tcW w:w="3021" w:type="dxa"/>
            <w:shd w:val="clear" w:color="auto" w:fill="8EAADB" w:themeFill="accent1" w:themeFillTint="99"/>
            <w:vAlign w:val="center"/>
          </w:tcPr>
          <w:p w14:paraId="019399AB" w14:textId="0454F627" w:rsidR="001C5011" w:rsidRPr="001C5011" w:rsidRDefault="001C5011" w:rsidP="001C5011">
            <w:pPr>
              <w:jc w:val="center"/>
              <w:rPr>
                <w:b/>
                <w:bCs/>
                <w:sz w:val="36"/>
                <w:szCs w:val="36"/>
              </w:rPr>
            </w:pPr>
            <w:r w:rsidRPr="001C5011">
              <w:rPr>
                <w:b/>
                <w:bCs/>
                <w:sz w:val="24"/>
                <w:szCs w:val="24"/>
              </w:rPr>
              <w:t>Information requise</w:t>
            </w:r>
          </w:p>
        </w:tc>
        <w:tc>
          <w:tcPr>
            <w:tcW w:w="3593" w:type="dxa"/>
            <w:shd w:val="clear" w:color="auto" w:fill="8EAADB" w:themeFill="accent1" w:themeFillTint="99"/>
            <w:vAlign w:val="center"/>
          </w:tcPr>
          <w:p w14:paraId="167AE05C" w14:textId="6195E374" w:rsidR="001C5011" w:rsidRPr="001C5011" w:rsidRDefault="001C5011" w:rsidP="001C5011">
            <w:pPr>
              <w:jc w:val="center"/>
              <w:rPr>
                <w:b/>
                <w:bCs/>
                <w:sz w:val="36"/>
                <w:szCs w:val="36"/>
              </w:rPr>
            </w:pPr>
            <w:r w:rsidRPr="001C5011">
              <w:rPr>
                <w:b/>
                <w:bCs/>
                <w:sz w:val="24"/>
                <w:szCs w:val="24"/>
              </w:rPr>
              <w:t>Réponse du soumissionnaire</w:t>
            </w:r>
          </w:p>
        </w:tc>
      </w:tr>
      <w:tr w:rsidR="009F5FC9" w:rsidRPr="001C5011" w14:paraId="68263081" w14:textId="77777777" w:rsidTr="001C5011">
        <w:trPr>
          <w:trHeight w:val="1271"/>
        </w:trPr>
        <w:tc>
          <w:tcPr>
            <w:tcW w:w="3876" w:type="dxa"/>
          </w:tcPr>
          <w:p w14:paraId="2560B123" w14:textId="650B27B3" w:rsidR="009F5FC9" w:rsidRPr="00DA50C0" w:rsidRDefault="009F5FC9" w:rsidP="00DA50C0">
            <w:pPr>
              <w:jc w:val="both"/>
            </w:pPr>
            <w:r w:rsidRPr="00DA50C0">
              <w:t>Puissance acoustique</w:t>
            </w:r>
          </w:p>
          <w:p w14:paraId="6C1494CD" w14:textId="77777777" w:rsidR="009F5FC9" w:rsidRPr="001C5011" w:rsidRDefault="009F5FC9" w:rsidP="001C5011">
            <w:pPr>
              <w:jc w:val="both"/>
            </w:pPr>
          </w:p>
        </w:tc>
        <w:tc>
          <w:tcPr>
            <w:tcW w:w="3021" w:type="dxa"/>
          </w:tcPr>
          <w:p w14:paraId="6C9D7C00" w14:textId="4741DF59" w:rsidR="009F5FC9" w:rsidRPr="001C5011" w:rsidRDefault="00DA50C0" w:rsidP="00DA50C0">
            <w:pPr>
              <w:jc w:val="both"/>
            </w:pPr>
            <w:r>
              <w:t>T</w:t>
            </w:r>
            <w:r w:rsidRPr="006F18FF">
              <w:t>ableau récapitulatif précisant pour chaque</w:t>
            </w:r>
            <w:r>
              <w:t xml:space="preserve"> </w:t>
            </w:r>
            <w:r w:rsidRPr="006F18FF">
              <w:t>équipement les niveaux de puissances acoustiques des équipements techniques. Les valeurs indiquées seront justifiées à partir de données techniques fabricant.</w:t>
            </w:r>
          </w:p>
        </w:tc>
        <w:tc>
          <w:tcPr>
            <w:tcW w:w="3593" w:type="dxa"/>
          </w:tcPr>
          <w:p w14:paraId="70AAEBD5" w14:textId="77777777" w:rsidR="009F5FC9" w:rsidRPr="001C5011" w:rsidRDefault="009F5FC9" w:rsidP="001C5011">
            <w:pPr>
              <w:jc w:val="both"/>
            </w:pPr>
          </w:p>
        </w:tc>
      </w:tr>
      <w:tr w:rsidR="00DA50C0" w:rsidRPr="001C5011" w14:paraId="593E0461" w14:textId="77777777" w:rsidTr="005A0534">
        <w:trPr>
          <w:trHeight w:val="1897"/>
        </w:trPr>
        <w:tc>
          <w:tcPr>
            <w:tcW w:w="3876" w:type="dxa"/>
          </w:tcPr>
          <w:p w14:paraId="31A8FD8F" w14:textId="735C407D" w:rsidR="00DA50C0" w:rsidRPr="00DA50C0" w:rsidRDefault="00DA50C0" w:rsidP="00DA50C0">
            <w:pPr>
              <w:jc w:val="both"/>
            </w:pPr>
            <w:r w:rsidRPr="00DA50C0">
              <w:t>Durée de garantie</w:t>
            </w:r>
          </w:p>
          <w:p w14:paraId="5EA8E90E" w14:textId="77777777" w:rsidR="00DA50C0" w:rsidRPr="001C5011" w:rsidRDefault="00DA50C0" w:rsidP="001C5011">
            <w:pPr>
              <w:jc w:val="both"/>
            </w:pPr>
          </w:p>
        </w:tc>
        <w:tc>
          <w:tcPr>
            <w:tcW w:w="3021" w:type="dxa"/>
          </w:tcPr>
          <w:p w14:paraId="1101B7D9" w14:textId="27CDB2C6" w:rsidR="00DA50C0" w:rsidRPr="001C5011" w:rsidRDefault="00DA50C0" w:rsidP="00DA50C0">
            <w:pPr>
              <w:jc w:val="both"/>
            </w:pPr>
            <w:proofErr w:type="gramStart"/>
            <w:r w:rsidRPr="006F18FF">
              <w:t>un</w:t>
            </w:r>
            <w:proofErr w:type="gramEnd"/>
            <w:r w:rsidRPr="006F18FF">
              <w:t xml:space="preserve"> tableau récapitulatif les garanties fabricant pour l’ensemble du matériel proposé (système de climatisation et ventilation double flux thermodynamique)</w:t>
            </w:r>
          </w:p>
        </w:tc>
        <w:tc>
          <w:tcPr>
            <w:tcW w:w="3593" w:type="dxa"/>
          </w:tcPr>
          <w:p w14:paraId="09F6B9AE" w14:textId="77777777" w:rsidR="00DA50C0" w:rsidRPr="001C5011" w:rsidRDefault="00DA50C0" w:rsidP="001C5011">
            <w:pPr>
              <w:jc w:val="both"/>
            </w:pPr>
          </w:p>
        </w:tc>
      </w:tr>
      <w:tr w:rsidR="001C5011" w:rsidRPr="001C5011" w14:paraId="02B6066E" w14:textId="77777777" w:rsidTr="001C5011">
        <w:trPr>
          <w:trHeight w:val="1271"/>
        </w:trPr>
        <w:tc>
          <w:tcPr>
            <w:tcW w:w="3876" w:type="dxa"/>
          </w:tcPr>
          <w:p w14:paraId="5EF3AD88" w14:textId="32D4C497" w:rsidR="001C5011" w:rsidRPr="001C5011" w:rsidRDefault="005A0534" w:rsidP="001C5011">
            <w:pPr>
              <w:jc w:val="both"/>
            </w:pPr>
            <w:r w:rsidRPr="005A0534">
              <w:t>Efficacité énergétique</w:t>
            </w:r>
            <w:r>
              <w:t xml:space="preserve"> </w:t>
            </w:r>
            <w:r w:rsidRPr="005A0534">
              <w:t>de systèmes de climatisation</w:t>
            </w:r>
          </w:p>
        </w:tc>
        <w:tc>
          <w:tcPr>
            <w:tcW w:w="3021" w:type="dxa"/>
          </w:tcPr>
          <w:p w14:paraId="113C8D65" w14:textId="77777777" w:rsidR="005A0534" w:rsidRDefault="005A0534" w:rsidP="005A0534">
            <w:pPr>
              <w:jc w:val="both"/>
            </w:pPr>
            <w:r>
              <w:t>M</w:t>
            </w:r>
            <w:r w:rsidRPr="006F18FF">
              <w:t>oyenne des SEER des climatisations normales ST et vigie. Les valeurs indiquées seront justifiées à partir de données techniques fabricant.</w:t>
            </w:r>
            <w:r>
              <w:t xml:space="preserve"> </w:t>
            </w:r>
          </w:p>
          <w:p w14:paraId="4555146F" w14:textId="50A97D66" w:rsidR="001C5011" w:rsidRPr="005A0534" w:rsidRDefault="001C5011" w:rsidP="005A0534">
            <w:pPr>
              <w:pStyle w:val="Default"/>
              <w:jc w:val="both"/>
              <w:rPr>
                <w:rFonts w:asciiTheme="minorHAnsi" w:hAnsiTheme="minorHAnsi" w:cstheme="minorBidi"/>
                <w:color w:val="auto"/>
                <w:kern w:val="2"/>
                <w:sz w:val="22"/>
                <w:szCs w:val="22"/>
              </w:rPr>
            </w:pPr>
          </w:p>
        </w:tc>
        <w:tc>
          <w:tcPr>
            <w:tcW w:w="3593" w:type="dxa"/>
          </w:tcPr>
          <w:p w14:paraId="6BFDCD33" w14:textId="77777777" w:rsidR="001C5011" w:rsidRPr="001C5011" w:rsidRDefault="001C5011" w:rsidP="001C5011">
            <w:pPr>
              <w:jc w:val="both"/>
            </w:pPr>
          </w:p>
        </w:tc>
      </w:tr>
      <w:tr w:rsidR="001C5011" w:rsidRPr="001C5011" w14:paraId="2FE5A5E8" w14:textId="77777777" w:rsidTr="001C5011">
        <w:trPr>
          <w:trHeight w:val="1118"/>
        </w:trPr>
        <w:tc>
          <w:tcPr>
            <w:tcW w:w="3876" w:type="dxa"/>
          </w:tcPr>
          <w:p w14:paraId="1C2168D4" w14:textId="49028A2B" w:rsidR="001C5011" w:rsidRPr="001C5011" w:rsidRDefault="005A0534" w:rsidP="001C5011">
            <w:pPr>
              <w:jc w:val="both"/>
            </w:pPr>
            <w:r w:rsidRPr="005A0534">
              <w:t>Efficacité énergétique de la VMC DF thermodynamique</w:t>
            </w:r>
          </w:p>
        </w:tc>
        <w:tc>
          <w:tcPr>
            <w:tcW w:w="3021" w:type="dxa"/>
          </w:tcPr>
          <w:p w14:paraId="48BF4FB4" w14:textId="01487755" w:rsidR="001C5011" w:rsidRPr="001C5011" w:rsidRDefault="005A0534" w:rsidP="005A0534">
            <w:pPr>
              <w:jc w:val="both"/>
            </w:pPr>
            <w:r w:rsidRPr="006F18FF">
              <w:t>COP selon EN 14511-3 (chauffage avec A7 récupération de chaleur comprise). Les valeurs indiquées seront justifiées à partir de données techniques fabricant</w:t>
            </w:r>
          </w:p>
        </w:tc>
        <w:tc>
          <w:tcPr>
            <w:tcW w:w="3593" w:type="dxa"/>
          </w:tcPr>
          <w:p w14:paraId="6E619031" w14:textId="77777777" w:rsidR="001C5011" w:rsidRPr="001C5011" w:rsidRDefault="001C5011" w:rsidP="001C5011">
            <w:pPr>
              <w:jc w:val="both"/>
            </w:pPr>
          </w:p>
        </w:tc>
      </w:tr>
      <w:tr w:rsidR="001C5011" w:rsidRPr="001C5011" w14:paraId="03BFA064" w14:textId="77777777" w:rsidTr="001C5011">
        <w:tc>
          <w:tcPr>
            <w:tcW w:w="3876" w:type="dxa"/>
          </w:tcPr>
          <w:p w14:paraId="181A83BC" w14:textId="3D6D06E7" w:rsidR="001C5011" w:rsidRPr="001C5011" w:rsidRDefault="005A0534" w:rsidP="005A0534">
            <w:pPr>
              <w:jc w:val="both"/>
            </w:pPr>
            <w:r w:rsidRPr="005A0534">
              <w:t>Pouvoir de Réchauffement Global (PRG</w:t>
            </w:r>
            <w:r w:rsidRPr="005A0534">
              <w:t>)</w:t>
            </w:r>
          </w:p>
        </w:tc>
        <w:tc>
          <w:tcPr>
            <w:tcW w:w="3021" w:type="dxa"/>
          </w:tcPr>
          <w:p w14:paraId="4C3C7D97" w14:textId="5C27A9D6" w:rsidR="001C5011" w:rsidRPr="001C5011" w:rsidRDefault="005A0534" w:rsidP="005A0534">
            <w:pPr>
              <w:jc w:val="both"/>
            </w:pPr>
            <w:r>
              <w:t>M</w:t>
            </w:r>
            <w:r w:rsidRPr="006F18FF">
              <w:t>oyenne des PRG des fluides frigorigènes des systèmes de climatisation employée pour la climatisation de la vigie et la salle technique. Les valeurs indiquées seront justifiées à partir de données techniques fabricant</w:t>
            </w:r>
          </w:p>
        </w:tc>
        <w:tc>
          <w:tcPr>
            <w:tcW w:w="3593" w:type="dxa"/>
          </w:tcPr>
          <w:p w14:paraId="47AAEFD5" w14:textId="77777777" w:rsidR="001C5011" w:rsidRPr="001C5011" w:rsidRDefault="001C5011" w:rsidP="001C5011">
            <w:pPr>
              <w:jc w:val="both"/>
            </w:pPr>
          </w:p>
        </w:tc>
      </w:tr>
      <w:tr w:rsidR="001C5011" w:rsidRPr="001C5011" w14:paraId="43B56B4C" w14:textId="77777777" w:rsidTr="001C5011">
        <w:tc>
          <w:tcPr>
            <w:tcW w:w="3876" w:type="dxa"/>
          </w:tcPr>
          <w:p w14:paraId="6D527E84" w14:textId="1F6B637D" w:rsidR="001C5011" w:rsidRPr="001C5011" w:rsidRDefault="005A0534" w:rsidP="001C5011">
            <w:pPr>
              <w:jc w:val="both"/>
            </w:pPr>
            <w:r w:rsidRPr="005A0534">
              <w:t>Ratio de réparabilité</w:t>
            </w:r>
          </w:p>
        </w:tc>
        <w:tc>
          <w:tcPr>
            <w:tcW w:w="3021" w:type="dxa"/>
          </w:tcPr>
          <w:p w14:paraId="52F9CE27" w14:textId="77777777" w:rsidR="005A0534" w:rsidRPr="005A0534" w:rsidRDefault="005A0534" w:rsidP="005A0534">
            <w:pPr>
              <w:jc w:val="both"/>
            </w:pPr>
            <w:r w:rsidRPr="005A0534">
              <w:t xml:space="preserve">Ce ratio de réparabilité doit être calculé selon la formule suivante, le résultat étant exprimé en pourcentage (sur la base de la nomenclature </w:t>
            </w:r>
            <w:r w:rsidRPr="005A0534">
              <w:lastRenderedPageBreak/>
              <w:t xml:space="preserve">produit de niveau 1) : nombre de composants réparables ou remplaçables* / nombre total de composants constituant le produit fini x 100 </w:t>
            </w:r>
          </w:p>
          <w:p w14:paraId="10CC8ED5" w14:textId="77777777" w:rsidR="001C5011" w:rsidRPr="001C5011" w:rsidRDefault="001C5011" w:rsidP="005A0534">
            <w:pPr>
              <w:jc w:val="both"/>
            </w:pPr>
          </w:p>
        </w:tc>
        <w:tc>
          <w:tcPr>
            <w:tcW w:w="3593" w:type="dxa"/>
          </w:tcPr>
          <w:p w14:paraId="1290450B" w14:textId="77777777" w:rsidR="001C5011" w:rsidRPr="001C5011" w:rsidRDefault="001C5011" w:rsidP="001C5011">
            <w:pPr>
              <w:jc w:val="both"/>
            </w:pPr>
          </w:p>
        </w:tc>
      </w:tr>
      <w:tr w:rsidR="001C5011" w:rsidRPr="001C5011" w14:paraId="1D439B54" w14:textId="77777777" w:rsidTr="001C5011">
        <w:tc>
          <w:tcPr>
            <w:tcW w:w="3876" w:type="dxa"/>
          </w:tcPr>
          <w:p w14:paraId="595CB6DB" w14:textId="760F9835" w:rsidR="001C5011" w:rsidRPr="001C5011" w:rsidRDefault="005A0534" w:rsidP="005A0534">
            <w:pPr>
              <w:jc w:val="both"/>
            </w:pPr>
            <w:r w:rsidRPr="005A0534">
              <w:t>Disponibilité des pièces</w:t>
            </w:r>
          </w:p>
        </w:tc>
        <w:tc>
          <w:tcPr>
            <w:tcW w:w="3021" w:type="dxa"/>
          </w:tcPr>
          <w:p w14:paraId="54DFD8E8" w14:textId="1B0B2D07" w:rsidR="001C5011" w:rsidRPr="001C5011" w:rsidRDefault="006D53B8" w:rsidP="005A0534">
            <w:pPr>
              <w:jc w:val="both"/>
            </w:pPr>
            <w:r w:rsidRPr="005A0534">
              <w:t>Durée</w:t>
            </w:r>
            <w:r w:rsidR="005A0534" w:rsidRPr="005A0534">
              <w:t xml:space="preserve"> de disponibilité des pièces détachées de 10 ans minimum, et valorise la proposition d’une durée supérieure aux exigences minimales inscrites au CCTP</w:t>
            </w:r>
          </w:p>
        </w:tc>
        <w:tc>
          <w:tcPr>
            <w:tcW w:w="3593" w:type="dxa"/>
          </w:tcPr>
          <w:p w14:paraId="2A9124F5" w14:textId="77777777" w:rsidR="001C5011" w:rsidRPr="001C5011" w:rsidRDefault="001C5011" w:rsidP="001C5011">
            <w:pPr>
              <w:jc w:val="both"/>
            </w:pPr>
          </w:p>
        </w:tc>
      </w:tr>
      <w:tr w:rsidR="001C5011" w:rsidRPr="001C5011" w14:paraId="240ACED2" w14:textId="77777777" w:rsidTr="001C5011">
        <w:tc>
          <w:tcPr>
            <w:tcW w:w="3876" w:type="dxa"/>
          </w:tcPr>
          <w:p w14:paraId="2743A1C5" w14:textId="580E3C54" w:rsidR="001C5011" w:rsidRPr="005A0534" w:rsidRDefault="005A0534" w:rsidP="001C5011">
            <w:pPr>
              <w:jc w:val="both"/>
            </w:pPr>
            <w:r w:rsidRPr="005A0534">
              <w:t>Type de peinture utilisée </w:t>
            </w:r>
          </w:p>
        </w:tc>
        <w:tc>
          <w:tcPr>
            <w:tcW w:w="3021" w:type="dxa"/>
          </w:tcPr>
          <w:p w14:paraId="189B1649" w14:textId="7529C9F8" w:rsidR="005A0534" w:rsidRDefault="005A0534" w:rsidP="005A0534">
            <w:pPr>
              <w:jc w:val="both"/>
            </w:pPr>
            <w:r w:rsidRPr="00103408">
              <w:t>Chaque</w:t>
            </w:r>
            <w:r w:rsidRPr="00103408">
              <w:t xml:space="preserve"> PAC</w:t>
            </w:r>
            <w:r>
              <w:t> :</w:t>
            </w:r>
          </w:p>
          <w:p w14:paraId="006647C7" w14:textId="43A1287D" w:rsidR="005A0534" w:rsidRPr="00103408" w:rsidRDefault="005A0534" w:rsidP="005A0534">
            <w:pPr>
              <w:jc w:val="both"/>
            </w:pPr>
            <w:r w:rsidRPr="00103408">
              <w:t>(</w:t>
            </w:r>
            <w:proofErr w:type="gramStart"/>
            <w:r w:rsidRPr="00103408">
              <w:t>il</w:t>
            </w:r>
            <w:proofErr w:type="gramEnd"/>
            <w:r w:rsidRPr="00103408">
              <w:t xml:space="preserve"> convient de noter que cette obligation ne s’applique pas aux matériaux ne nécessitant pas de traitement de peinture, comme l’aluminium ou l’acier inoxydable) : </w:t>
            </w:r>
          </w:p>
          <w:p w14:paraId="6EDC4274" w14:textId="77777777" w:rsidR="005A0534" w:rsidRPr="005A0534" w:rsidRDefault="005A0534" w:rsidP="005A0534">
            <w:pPr>
              <w:jc w:val="both"/>
            </w:pPr>
            <w:r w:rsidRPr="005A0534">
              <w:t xml:space="preserve">- utilisation de peinture en poudre polyester (oui/non) ; </w:t>
            </w:r>
          </w:p>
          <w:p w14:paraId="12EE5FF2" w14:textId="77777777" w:rsidR="005A0534" w:rsidRPr="005A0534" w:rsidRDefault="005A0534" w:rsidP="005A0534">
            <w:pPr>
              <w:jc w:val="both"/>
            </w:pPr>
            <w:r w:rsidRPr="005A0534">
              <w:t xml:space="preserve">- présence de systèmes de filtrations efficaces sur les chaînes de peinture (oui/non). </w:t>
            </w:r>
          </w:p>
          <w:p w14:paraId="68A1C7A6" w14:textId="77777777" w:rsidR="001C5011" w:rsidRPr="001C5011" w:rsidRDefault="001C5011" w:rsidP="005A0534">
            <w:pPr>
              <w:jc w:val="both"/>
            </w:pPr>
          </w:p>
        </w:tc>
        <w:tc>
          <w:tcPr>
            <w:tcW w:w="3593" w:type="dxa"/>
          </w:tcPr>
          <w:p w14:paraId="21751747" w14:textId="77777777" w:rsidR="001C5011" w:rsidRPr="001C5011" w:rsidRDefault="001C5011" w:rsidP="001C5011">
            <w:pPr>
              <w:jc w:val="both"/>
            </w:pPr>
          </w:p>
        </w:tc>
      </w:tr>
      <w:tr w:rsidR="001C5011" w:rsidRPr="001C5011" w14:paraId="5C79F1AC" w14:textId="77777777" w:rsidTr="001C5011">
        <w:trPr>
          <w:trHeight w:val="1117"/>
        </w:trPr>
        <w:tc>
          <w:tcPr>
            <w:tcW w:w="3876" w:type="dxa"/>
          </w:tcPr>
          <w:p w14:paraId="075443FE" w14:textId="4E9A660C" w:rsidR="001C5011" w:rsidRPr="005A0534" w:rsidRDefault="005A0534" w:rsidP="001C5011">
            <w:pPr>
              <w:jc w:val="both"/>
            </w:pPr>
            <w:r w:rsidRPr="005A0534">
              <w:t>Circularité des matériaux constitutifs de la carrosserie</w:t>
            </w:r>
          </w:p>
        </w:tc>
        <w:tc>
          <w:tcPr>
            <w:tcW w:w="3021" w:type="dxa"/>
          </w:tcPr>
          <w:p w14:paraId="46C12191" w14:textId="13DA4DEB" w:rsidR="001C5011" w:rsidRPr="001C5011" w:rsidRDefault="006D53B8" w:rsidP="005A0534">
            <w:pPr>
              <w:jc w:val="both"/>
            </w:pPr>
            <w:r>
              <w:t xml:space="preserve">La </w:t>
            </w:r>
            <w:r w:rsidR="005A0534" w:rsidRPr="00103408">
              <w:t>part d’aluminium et d’acier</w:t>
            </w:r>
            <w:r>
              <w:t xml:space="preserve"> </w:t>
            </w:r>
            <w:r w:rsidR="005A0534" w:rsidRPr="00103408">
              <w:t>la plus élevée se verra attribuer la note maximale</w:t>
            </w:r>
          </w:p>
        </w:tc>
        <w:tc>
          <w:tcPr>
            <w:tcW w:w="3593" w:type="dxa"/>
          </w:tcPr>
          <w:p w14:paraId="7A319DA6" w14:textId="77777777" w:rsidR="001C5011" w:rsidRPr="001C5011" w:rsidRDefault="001C5011" w:rsidP="001C5011">
            <w:pPr>
              <w:jc w:val="both"/>
            </w:pPr>
          </w:p>
        </w:tc>
      </w:tr>
      <w:tr w:rsidR="005A0534" w:rsidRPr="001C5011" w14:paraId="5A7590D6" w14:textId="77777777" w:rsidTr="001C5011">
        <w:trPr>
          <w:trHeight w:val="1117"/>
        </w:trPr>
        <w:tc>
          <w:tcPr>
            <w:tcW w:w="3876" w:type="dxa"/>
          </w:tcPr>
          <w:p w14:paraId="636202CE" w14:textId="6990B683" w:rsidR="005A0534" w:rsidRPr="002A7CE9" w:rsidRDefault="005A0534" w:rsidP="001C5011">
            <w:pPr>
              <w:jc w:val="both"/>
              <w:rPr>
                <w:b/>
                <w:bCs/>
              </w:rPr>
            </w:pPr>
            <w:r w:rsidRPr="005A0534">
              <w:t>Part des matériaux issus du recyclage</w:t>
            </w:r>
          </w:p>
        </w:tc>
        <w:tc>
          <w:tcPr>
            <w:tcW w:w="3021" w:type="dxa"/>
          </w:tcPr>
          <w:p w14:paraId="42127CDE" w14:textId="67DD0261" w:rsidR="005A0534" w:rsidRDefault="005A0534" w:rsidP="005A0534">
            <w:pPr>
              <w:jc w:val="both"/>
            </w:pPr>
            <w:r w:rsidRPr="005A0534">
              <w:t>I</w:t>
            </w:r>
            <w:r w:rsidRPr="005A0534">
              <w:t>ndiquer quels sont les matériaux issus du recyclage utilisés pour la fabrication de l’équipement proposé</w:t>
            </w:r>
            <w:r w:rsidRPr="005A0534">
              <w:t xml:space="preserve"> </w:t>
            </w:r>
            <w:r w:rsidRPr="005A0534">
              <w:t>en apportant tous documents justifiant de la part de matériaux issus du recyclage, tels que : label, fiche produit constructeur, certification</w:t>
            </w:r>
          </w:p>
        </w:tc>
        <w:tc>
          <w:tcPr>
            <w:tcW w:w="3593" w:type="dxa"/>
          </w:tcPr>
          <w:p w14:paraId="5A4D16EE" w14:textId="77777777" w:rsidR="005A0534" w:rsidRPr="001C5011" w:rsidRDefault="005A0534" w:rsidP="001C5011">
            <w:pPr>
              <w:jc w:val="both"/>
            </w:pPr>
          </w:p>
        </w:tc>
      </w:tr>
    </w:tbl>
    <w:p w14:paraId="56D2E51A" w14:textId="77777777" w:rsidR="001C5011" w:rsidRPr="001C5011" w:rsidRDefault="001C5011" w:rsidP="001C5011">
      <w:pPr>
        <w:jc w:val="both"/>
      </w:pPr>
    </w:p>
    <w:sectPr w:rsidR="001C5011" w:rsidRPr="001C501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FE8DE" w14:textId="77777777" w:rsidR="001C5011" w:rsidRDefault="001C5011" w:rsidP="001C5011">
      <w:pPr>
        <w:spacing w:after="0" w:line="240" w:lineRule="auto"/>
      </w:pPr>
      <w:r>
        <w:separator/>
      </w:r>
    </w:p>
  </w:endnote>
  <w:endnote w:type="continuationSeparator" w:id="0">
    <w:p w14:paraId="164A4D72" w14:textId="77777777" w:rsidR="001C5011" w:rsidRDefault="001C5011" w:rsidP="001C5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32ECB" w14:textId="77777777" w:rsidR="001C5011" w:rsidRDefault="001C5011" w:rsidP="001C5011">
      <w:pPr>
        <w:spacing w:after="0" w:line="240" w:lineRule="auto"/>
      </w:pPr>
      <w:r>
        <w:separator/>
      </w:r>
    </w:p>
  </w:footnote>
  <w:footnote w:type="continuationSeparator" w:id="0">
    <w:p w14:paraId="0F17A765" w14:textId="77777777" w:rsidR="001C5011" w:rsidRDefault="001C5011" w:rsidP="001C5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45A60" w14:textId="091DBEC5" w:rsidR="001C5011" w:rsidRDefault="001C5011" w:rsidP="001C5011">
    <w:pPr>
      <w:pStyle w:val="En-tte"/>
      <w:jc w:val="center"/>
    </w:pPr>
    <w:r>
      <w:t>Consultation n°</w:t>
    </w:r>
    <w:r w:rsidRPr="001C5011">
      <w:t xml:space="preserve"> </w:t>
    </w:r>
    <w:r w:rsidRPr="00413DC8">
      <w:t>SNIA_</w:t>
    </w:r>
    <w:r w:rsidRPr="00206FDC">
      <w:rPr>
        <w:highlight w:val="yellow"/>
      </w:rPr>
      <w:t>PAI-ORL_MAPA</w:t>
    </w:r>
    <w:r w:rsidRPr="00413DC8">
      <w:t>_25-0</w:t>
    </w:r>
    <w:r w:rsidR="00206FDC">
      <w:t>78</w:t>
    </w:r>
  </w:p>
  <w:p w14:paraId="25EFB309" w14:textId="761E28C7" w:rsidR="001C5011" w:rsidRDefault="00206FDC" w:rsidP="001C5011">
    <w:pPr>
      <w:pStyle w:val="En-tte"/>
      <w:jc w:val="center"/>
    </w:pPr>
    <w:r>
      <w:t>Construction la nouvelle vigie de l’héliport Paris-Issy-les-Moulineaux-Valérie André</w:t>
    </w:r>
  </w:p>
  <w:p w14:paraId="2FCBA779" w14:textId="52767B80" w:rsidR="001C5011" w:rsidRDefault="001C5011">
    <w:pPr>
      <w:pStyle w:val="En-tte"/>
    </w:pPr>
  </w:p>
  <w:p w14:paraId="45ACAED3" w14:textId="77777777" w:rsidR="001C5011" w:rsidRDefault="001C501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1F701A"/>
    <w:multiLevelType w:val="hybridMultilevel"/>
    <w:tmpl w:val="0098047C"/>
    <w:lvl w:ilvl="0" w:tplc="40C6532A">
      <w:start w:val="4"/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315478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011"/>
    <w:rsid w:val="0008482E"/>
    <w:rsid w:val="00182FD3"/>
    <w:rsid w:val="001C5011"/>
    <w:rsid w:val="00206FDC"/>
    <w:rsid w:val="005A0534"/>
    <w:rsid w:val="005A335C"/>
    <w:rsid w:val="006D53B8"/>
    <w:rsid w:val="009F0F0B"/>
    <w:rsid w:val="009F5FC9"/>
    <w:rsid w:val="00CE4A89"/>
    <w:rsid w:val="00D92605"/>
    <w:rsid w:val="00DA5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3E1673"/>
  <w15:chartTrackingRefBased/>
  <w15:docId w15:val="{144A8F1B-F464-4E25-B406-339B0D6CB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fr-F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C50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C5011"/>
  </w:style>
  <w:style w:type="paragraph" w:styleId="Pieddepage">
    <w:name w:val="footer"/>
    <w:basedOn w:val="Normal"/>
    <w:link w:val="PieddepageCar"/>
    <w:uiPriority w:val="99"/>
    <w:unhideWhenUsed/>
    <w:rsid w:val="001C50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C5011"/>
  </w:style>
  <w:style w:type="table" w:styleId="Grilledutableau">
    <w:name w:val="Table Grid"/>
    <w:basedOn w:val="TableauNormal"/>
    <w:uiPriority w:val="39"/>
    <w:rsid w:val="001C50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C5011"/>
    <w:pPr>
      <w:autoSpaceDE w:val="0"/>
      <w:autoSpaceDN w:val="0"/>
      <w:adjustRightInd w:val="0"/>
      <w:spacing w:after="0" w:line="240" w:lineRule="auto"/>
    </w:pPr>
    <w:rPr>
      <w:rFonts w:ascii="Marianne" w:hAnsi="Marianne" w:cs="Marianne"/>
      <w:color w:val="000000"/>
      <w:kern w:val="0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DA50C0"/>
    <w:pPr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379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DGAC - CRNA-SO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Cecile Cambet-Gabarra</dc:creator>
  <cp:keywords/>
  <dc:description/>
  <cp:lastModifiedBy>Cecile Cazenave-Lavie</cp:lastModifiedBy>
  <cp:revision>2</cp:revision>
  <dcterms:created xsi:type="dcterms:W3CDTF">2025-10-03T09:25:00Z</dcterms:created>
  <dcterms:modified xsi:type="dcterms:W3CDTF">2025-10-03T09:25:00Z</dcterms:modified>
</cp:coreProperties>
</file>